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4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24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vertAlign w:val="superscript"/>
          <w:rtl w:val="0"/>
        </w:rPr>
        <w:t xml:space="preserve">th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January</w:t>
      </w:r>
    </w:p>
    <w:tbl>
      <w:tblPr>
        <w:tblStyle w:val="Table1"/>
        <w:tblW w:w="15675.999999999996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612"/>
        <w:gridCol w:w="721"/>
        <w:gridCol w:w="980"/>
        <w:gridCol w:w="2593"/>
        <w:gridCol w:w="1029"/>
        <w:gridCol w:w="3079"/>
        <w:gridCol w:w="991"/>
        <w:gridCol w:w="2685"/>
        <w:gridCol w:w="986"/>
        <w:tblGridChange w:id="0">
          <w:tblGrid>
            <w:gridCol w:w="2612"/>
            <w:gridCol w:w="721"/>
            <w:gridCol w:w="980"/>
            <w:gridCol w:w="2593"/>
            <w:gridCol w:w="1029"/>
            <w:gridCol w:w="3079"/>
            <w:gridCol w:w="991"/>
            <w:gridCol w:w="2685"/>
            <w:gridCol w:w="986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information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adoration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sensation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preparation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education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location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exaggeration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concentration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imagination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organisation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KSNkgtF1926deXzs9u6s7uqD0vQ==">CgMxLjA4AHIhMURZRlJvZUVuZk9VVUFXeThIT0ZxQU9TZVljcG9nMWNZ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